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2697">
      <w:pPr>
        <w:spacing w:before="480" w:after="480" w:line="288" w:lineRule="auto"/>
        <w:jc w:val="both"/>
        <w:rPr>
          <w:rFonts w:hint="eastAsia" w:ascii="Arial" w:hAnsi="Arial" w:eastAsia="等线" w:cs="Arial"/>
          <w:b/>
          <w:sz w:val="44"/>
          <w:szCs w:val="44"/>
          <w:lang w:val="en-US" w:eastAsia="zh-CN"/>
        </w:rPr>
      </w:pPr>
      <w:bookmarkStart w:id="8" w:name="_GoBack"/>
      <w:bookmarkEnd w:id="8"/>
      <w:r>
        <w:rPr>
          <w:rFonts w:hint="eastAsia" w:ascii="Arial" w:hAnsi="Arial" w:eastAsia="等线" w:cs="Arial"/>
          <w:b/>
          <w:sz w:val="44"/>
          <w:szCs w:val="44"/>
        </w:rPr>
        <w:t>附件</w:t>
      </w:r>
      <w:r>
        <w:rPr>
          <w:rFonts w:hint="eastAsia" w:ascii="Arial" w:hAnsi="Arial" w:eastAsia="等线" w:cs="Arial"/>
          <w:b/>
          <w:sz w:val="44"/>
          <w:szCs w:val="44"/>
          <w:lang w:val="en-US" w:eastAsia="zh-CN"/>
        </w:rPr>
        <w:t>7</w:t>
      </w:r>
    </w:p>
    <w:p w14:paraId="6514B741">
      <w:pPr>
        <w:spacing w:before="480" w:after="480" w:line="288" w:lineRule="auto"/>
        <w:jc w:val="center"/>
        <w:rPr>
          <w:rFonts w:hint="eastAsia"/>
        </w:rPr>
      </w:pPr>
      <w:r>
        <w:rPr>
          <w:rFonts w:hint="eastAsia" w:ascii="Arial" w:hAnsi="Arial" w:eastAsia="等线" w:cs="Arial"/>
          <w:b/>
          <w:sz w:val="44"/>
          <w:szCs w:val="44"/>
        </w:rPr>
        <w:t>银龄华彩·艺韵流芳中老年人文艺汇演活动</w:t>
      </w:r>
      <w:bookmarkStart w:id="0" w:name="heading_0"/>
      <w:r>
        <w:rPr>
          <w:rFonts w:ascii="Arial" w:hAnsi="Arial" w:eastAsia="等线" w:cs="Arial"/>
          <w:b/>
          <w:sz w:val="36"/>
        </w:rPr>
        <w:t>全国赛区授权管理办法</w:t>
      </w:r>
      <w:bookmarkEnd w:id="0"/>
    </w:p>
    <w:p w14:paraId="66C71646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hAnsi="Arial" w:eastAsia="等线" w:cs="Arial"/>
          <w:b/>
          <w:sz w:val="32"/>
        </w:rPr>
        <w:t>第一章 总则</w:t>
      </w:r>
      <w:bookmarkEnd w:id="1"/>
    </w:p>
    <w:p w14:paraId="7EAE5737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第一条 为规范本次“</w:t>
      </w:r>
      <w:r>
        <w:rPr>
          <w:rFonts w:hint="eastAsia" w:ascii="Arial" w:hAnsi="Arial" w:eastAsia="等线" w:cs="Arial"/>
          <w:lang w:eastAsia="zh-CN"/>
        </w:rPr>
        <w:t>银龄华彩·艺韵流芳中老年人文艺汇演活动</w:t>
      </w:r>
      <w:r>
        <w:rPr>
          <w:rFonts w:ascii="Arial" w:hAnsi="Arial" w:eastAsia="等线" w:cs="Arial"/>
        </w:rPr>
        <w:t>”（以下简称“活动”）全国赛区设置、授权及管理工作，保障活动公平、有序、高效推进，明确组委会与各赛区授权单位的权利与义务，依据活动总体方案，制定本办法。</w:t>
      </w:r>
    </w:p>
    <w:p w14:paraId="0154C661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第二条 本办法适用于本次活动全国七大赛区（华北、东北、华东、华南、华中、西南、西北）、省级分赛区及市级海选点的授权、运营、监管全流程，所有授权单位需严格遵守本办法规定，服从组委会统一管理。</w:t>
      </w:r>
    </w:p>
    <w:p w14:paraId="2C4B3235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第三条 赛区授权遵循“合法合规、权责对等、择优授权、动态监管”的原则，优先选择具备文化活动运营经验、资源整合能力及良好信誉的机构作为授权单位。</w:t>
      </w:r>
    </w:p>
    <w:p w14:paraId="5BD1F338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第四条 组委会秘书处负责全国赛区授权的统筹管理、资格审核、协议签署及日常监管工作，赛事运营中心负责赛区活动执行的指导与协调。</w:t>
      </w:r>
    </w:p>
    <w:p w14:paraId="30AA3266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第五条 组委会成员</w:t>
      </w:r>
    </w:p>
    <w:p w14:paraId="4B6276C2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组委会总负责人，1，2，3</w:t>
      </w:r>
    </w:p>
    <w:p w14:paraId="793C487D">
      <w:pPr>
        <w:spacing w:before="120" w:after="120" w:line="288" w:lineRule="auto"/>
        <w:rPr>
          <w:rFonts w:hint="eastAsia"/>
        </w:rPr>
      </w:pPr>
      <w:r>
        <w:rPr>
          <w:rFonts w:hint="eastAsia" w:ascii="Arial" w:hAnsi="Arial" w:eastAsia="等线" w:cs="Arial"/>
        </w:rPr>
        <w:t>组委会成员：1，2，3</w:t>
      </w:r>
    </w:p>
    <w:p w14:paraId="206C9A21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hAnsi="Arial" w:eastAsia="等线" w:cs="Arial"/>
          <w:b/>
          <w:sz w:val="32"/>
        </w:rPr>
        <w:t>第二章 授权对象与资格要求</w:t>
      </w:r>
      <w:bookmarkEnd w:id="2"/>
    </w:p>
    <w:p w14:paraId="016199A4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第五条 授权对象包括省级分赛区授权单位、市级海选点授权单位，需具备以下基本资格：</w:t>
      </w:r>
    </w:p>
    <w:p w14:paraId="184FDE28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具有独立法人资格，持有有效的营业执照、组织机构代码证（或三证合一证件），经营范围包含文化活动策划、赛事组织、艺术交流等相关内容；</w:t>
      </w:r>
    </w:p>
    <w:p w14:paraId="4B0A5323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具备丰富的文艺赛事、文化活动运营经验，拥有专业的执行团队、完善的组织架构及本地资源整合能力（如对接当地教育机构、老年工作机构、文艺团体等）；</w:t>
      </w:r>
    </w:p>
    <w:p w14:paraId="66244A4E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信誉良好，无违法违规经营记录、无重大负面舆情，未被列入国家企业信用信息公示系统严重违法失信名单；</w:t>
      </w:r>
    </w:p>
    <w:p w14:paraId="194379BD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认同活动理念，愿意严格按照组委会要求开展赛区工作，接受组委会的监管与考核；</w:t>
      </w:r>
    </w:p>
    <w:p w14:paraId="4CA2149C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省级分赛区授权单位需具备一定的资金实力，能够承担赛区海选、宣传推广、场地搭建等相关费用；市级海选点授权单位需具备固定的办公场所及活动场地资源。</w:t>
      </w:r>
    </w:p>
    <w:p w14:paraId="00FD936C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第六条 优先授权条件：具备以下条件之一的机构，可优先获得授权：</w:t>
      </w:r>
    </w:p>
    <w:p w14:paraId="1B0D352F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与当地文旅部门、教育部门、老龄工作机构有长期合作关系；</w:t>
      </w:r>
    </w:p>
    <w:p w14:paraId="64BE0039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曾成功举办过省级及以上文艺赛事、文化交流活动；</w:t>
      </w:r>
    </w:p>
    <w:p w14:paraId="681B803B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拥有成熟的宣传渠道及广泛的群众基础，能够有效动员当地文艺爱好者参与活动。</w:t>
      </w:r>
    </w:p>
    <w:p w14:paraId="021340C9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hAnsi="Arial" w:eastAsia="等线" w:cs="Arial"/>
          <w:b/>
          <w:sz w:val="32"/>
        </w:rPr>
        <w:t>第三章 授权流程</w:t>
      </w:r>
      <w:bookmarkEnd w:id="3"/>
    </w:p>
    <w:p w14:paraId="37A92155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第七条 申请报名：有意向成为授权单位的机构，需向组委会秘书处提交《赛区授权申请表》（可在活动官方渠道下载），并附以下材料：</w:t>
      </w:r>
    </w:p>
    <w:p w14:paraId="6E708A34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法人营业执照复印件（加盖公章）；</w:t>
      </w:r>
    </w:p>
    <w:p w14:paraId="6E72D2F1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机构简介、过往活动运营案例（附相关证明材料）；</w:t>
      </w:r>
    </w:p>
    <w:p w14:paraId="461350AD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执行团队介绍、办公场所及活动场地证明；</w:t>
      </w:r>
    </w:p>
    <w:p w14:paraId="6E0AD0B1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赛区运营方案（包括海选计划、宣传计划、经费预算、安全保障方案等）；</w:t>
      </w:r>
    </w:p>
    <w:p w14:paraId="2FF4F9F5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法人身份证明复印件（加盖公章）及联系方式。</w:t>
      </w:r>
    </w:p>
    <w:p w14:paraId="6425F5F5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第八条 资格审核：组委会秘书处收到申请材料后，联合赛事运营中心在5个工作日内完成材料审核，必要时可对申请机构进行实地考察。审核通过的，进入授权洽谈环节；审核未通过的，书面告知申请机构未通过原因。</w:t>
      </w:r>
    </w:p>
    <w:p w14:paraId="1F599C8F">
      <w:pPr>
        <w:spacing w:before="120" w:after="120" w:line="288" w:lineRule="auto"/>
        <w:rPr>
          <w:rFonts w:hint="eastAsia"/>
          <w:color w:val="0000FF"/>
        </w:rPr>
      </w:pPr>
      <w:r>
        <w:rPr>
          <w:rFonts w:ascii="Arial" w:hAnsi="Arial" w:eastAsia="等线" w:cs="Arial"/>
          <w:color w:val="0000FF"/>
        </w:rPr>
        <w:t>第九条 协议签署：双方就授权相关事宜（授权范围、期限、权责、费用等）达成一致后，签署《赛区授权合作协议》。协议签署后，授权单位需在3个工作日内缴纳授权保证金（省级分赛区</w:t>
      </w:r>
      <w:r>
        <w:rPr>
          <w:rFonts w:hint="eastAsia" w:ascii="Arial" w:hAnsi="Arial" w:eastAsia="等线" w:cs="Arial"/>
          <w:color w:val="0000FF"/>
          <w:lang w:val="en-US" w:eastAsia="zh-CN"/>
        </w:rPr>
        <w:t>5</w:t>
      </w:r>
      <w:r>
        <w:rPr>
          <w:rFonts w:ascii="Arial" w:hAnsi="Arial" w:eastAsia="等线" w:cs="Arial"/>
          <w:color w:val="0000FF"/>
        </w:rPr>
        <w:t>万元，市级海选点</w:t>
      </w:r>
      <w:r>
        <w:rPr>
          <w:rFonts w:hint="eastAsia" w:ascii="Arial" w:hAnsi="Arial" w:eastAsia="等线" w:cs="Arial"/>
          <w:color w:val="0000FF"/>
          <w:lang w:val="en-US" w:eastAsia="zh-CN"/>
        </w:rPr>
        <w:t>1</w:t>
      </w:r>
      <w:r>
        <w:rPr>
          <w:rFonts w:ascii="Arial" w:hAnsi="Arial" w:eastAsia="等线" w:cs="Arial"/>
          <w:color w:val="0000FF"/>
        </w:rPr>
        <w:t>万元），保证金用于保障赛区工作合规执行，活动结束后无违规行为的，全额无息退还。</w:t>
      </w:r>
    </w:p>
    <w:p w14:paraId="4BD7EAA6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第十条 授权公示：组委会在活动官方网站、公众号等渠道，对所有授权单位进行公示，公示期3个工作日，公示无异议后，授权单位正式获得赛区运营资格，可启动相关工作。</w:t>
      </w:r>
    </w:p>
    <w:p w14:paraId="3551ADD5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hAnsi="Arial" w:eastAsia="等线" w:cs="Arial"/>
          <w:b/>
          <w:sz w:val="32"/>
        </w:rPr>
        <w:t>第四章 授权单位权责</w:t>
      </w:r>
      <w:bookmarkEnd w:id="4"/>
    </w:p>
    <w:p w14:paraId="1986A1D1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第十一条 授权单位权利：</w:t>
      </w:r>
    </w:p>
    <w:p w14:paraId="5CFA95CE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在授权范围内，以“本次活动XX赛区”名义开展海选、宣传推广、选手招募等相关工作；</w:t>
      </w:r>
    </w:p>
    <w:p w14:paraId="1451F999">
      <w:pPr>
        <w:numPr>
          <w:ilvl w:val="0"/>
          <w:numId w:val="15"/>
        </w:numPr>
        <w:spacing w:before="120" w:after="120" w:line="288" w:lineRule="auto"/>
        <w:rPr>
          <w:rFonts w:hint="eastAsia"/>
          <w:color w:val="0000FF"/>
        </w:rPr>
      </w:pPr>
      <w:r>
        <w:rPr>
          <w:rFonts w:ascii="Arial" w:hAnsi="Arial" w:eastAsia="等线" w:cs="Arial"/>
          <w:color w:val="0000FF"/>
        </w:rPr>
        <w:t>有权按照组委会规定，收取合理的选手报名费（单人</w:t>
      </w:r>
      <w:r>
        <w:rPr>
          <w:rFonts w:hint="eastAsia" w:ascii="Arial" w:hAnsi="Arial" w:eastAsia="等线" w:cs="Arial"/>
          <w:color w:val="0000FF"/>
          <w:lang w:val="en-US" w:eastAsia="zh-CN"/>
        </w:rPr>
        <w:t>10</w:t>
      </w:r>
      <w:r>
        <w:rPr>
          <w:rFonts w:ascii="Arial" w:hAnsi="Arial" w:eastAsia="等线" w:cs="Arial"/>
          <w:color w:val="0000FF"/>
        </w:rPr>
        <w:t>0</w:t>
      </w:r>
      <w:r>
        <w:rPr>
          <w:rFonts w:hint="eastAsia" w:ascii="Arial" w:hAnsi="Arial" w:eastAsia="等线" w:cs="Arial"/>
          <w:color w:val="0000FF"/>
          <w:lang w:val="en-US" w:eastAsia="zh-CN"/>
        </w:rPr>
        <w:t>-200</w:t>
      </w:r>
      <w:r>
        <w:rPr>
          <w:rFonts w:ascii="Arial" w:hAnsi="Arial" w:eastAsia="等线" w:cs="Arial"/>
          <w:color w:val="0000FF"/>
        </w:rPr>
        <w:t>元/人，集体节目200</w:t>
      </w:r>
      <w:r>
        <w:rPr>
          <w:rFonts w:hint="eastAsia" w:ascii="Arial" w:hAnsi="Arial" w:eastAsia="等线" w:cs="Arial"/>
          <w:color w:val="0000FF"/>
          <w:lang w:val="en-US" w:eastAsia="zh-CN"/>
        </w:rPr>
        <w:t>0</w:t>
      </w:r>
      <w:r>
        <w:rPr>
          <w:rFonts w:ascii="Arial" w:hAnsi="Arial" w:eastAsia="等线" w:cs="Arial"/>
          <w:color w:val="0000FF"/>
        </w:rPr>
        <w:t>元/组，需提前报组委会备案）；</w:t>
      </w:r>
    </w:p>
    <w:p w14:paraId="27E11C6E">
      <w:pPr>
        <w:numPr>
          <w:ilvl w:val="0"/>
          <w:numId w:val="16"/>
        </w:numPr>
        <w:spacing w:before="120" w:after="120" w:line="288" w:lineRule="auto"/>
        <w:rPr>
          <w:rFonts w:hint="eastAsia"/>
          <w:color w:val="FF0000"/>
        </w:rPr>
      </w:pPr>
      <w:r>
        <w:rPr>
          <w:rFonts w:ascii="Arial" w:hAnsi="Arial" w:eastAsia="等线" w:cs="Arial"/>
          <w:color w:val="FF0000"/>
        </w:rPr>
        <w:t>有权在授权范围内开展赛区招商工作，招商所得按协议约定与组委会分成；</w:t>
      </w:r>
      <w:r>
        <w:rPr>
          <w:rFonts w:hint="eastAsia" w:ascii="Arial" w:hAnsi="Arial" w:eastAsia="等线" w:cs="Arial"/>
          <w:color w:val="FF0000"/>
          <w:lang w:val="en-US" w:eastAsia="zh-CN"/>
        </w:rPr>
        <w:t>(</w:t>
      </w:r>
      <w:r>
        <w:rPr>
          <w:rFonts w:ascii="Arial" w:hAnsi="Arial" w:eastAsia="等线" w:cs="Arial"/>
          <w:color w:val="FF0000"/>
        </w:rPr>
        <w:t>分成</w:t>
      </w:r>
      <w:r>
        <w:rPr>
          <w:rFonts w:hint="eastAsia" w:ascii="Arial" w:hAnsi="Arial" w:eastAsia="等线" w:cs="Arial"/>
          <w:color w:val="FF0000"/>
          <w:lang w:eastAsia="zh-CN"/>
        </w:rPr>
        <w:t>比例</w:t>
      </w:r>
      <w:r>
        <w:rPr>
          <w:rFonts w:hint="eastAsia" w:ascii="Arial" w:hAnsi="Arial" w:eastAsia="等线" w:cs="Arial"/>
          <w:color w:val="FF0000"/>
          <w:lang w:val="en-US" w:eastAsia="zh-CN"/>
        </w:rPr>
        <w:t>:4:6)</w:t>
      </w:r>
    </w:p>
    <w:p w14:paraId="020C6422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获得组委会提供的活动统一宣传物料、运营指导、评审标准等支持；</w:t>
      </w:r>
    </w:p>
    <w:p w14:paraId="306A1A5C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优秀授权单位可获得组委会颁发的“优秀赛区奖”“优秀组织奖”，并纳入组委会长期合作体系。</w:t>
      </w:r>
    </w:p>
    <w:p w14:paraId="71820321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第十二条 授权单位义务：</w:t>
      </w:r>
    </w:p>
    <w:p w14:paraId="23BEF35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严格按照活动总体方案及本办法要求，规范开展赛区海选工作，确保评选过程公平、公正、公开，接受组委会及监审委员会的监管；</w:t>
      </w:r>
    </w:p>
    <w:p w14:paraId="6F89144F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负责赛区选手招募、报名审核、场地布置、设备保障、安全防护等工作，确保线下活动安全有序开展；</w:t>
      </w:r>
    </w:p>
    <w:p w14:paraId="78DD0924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严格按照组委会统一宣传口径，开展赛区宣传推广工作，积极配合组委会的全国宣传计划，及时上报赛区活动亮点、选手信息及相关数据；</w:t>
      </w:r>
    </w:p>
    <w:p w14:paraId="52B4A064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按时完成赛区海选工作，及时将晋级选手信息、节目视频等资料上报组委会赛事运营中心，不得拖延、篡改相关数据；</w:t>
      </w:r>
    </w:p>
    <w:p w14:paraId="7679EEF9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不得擅自超出授权范围开展活动，不得将授权资格转让、出租、出借他人，不得使用活动名义从事与本次活动无关的商业活动；</w:t>
      </w:r>
    </w:p>
    <w:p w14:paraId="3ED1ADB5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严格遵守活动版权规定，不得擅自使用活动IP、LOGO、宣传物料等用于非活动相关用途；</w:t>
      </w:r>
    </w:p>
    <w:p w14:paraId="0D01DE49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及时处理赛区选手投诉、咨询等事宜，妥善解决活动过程中出现的各类问题，重大问题第一时间上报组委会。</w:t>
      </w:r>
    </w:p>
    <w:p w14:paraId="1BB94EB8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hAnsi="Arial" w:eastAsia="等线" w:cs="Arial"/>
          <w:b/>
          <w:sz w:val="32"/>
        </w:rPr>
        <w:t>第五章 监管与考核</w:t>
      </w:r>
      <w:bookmarkEnd w:id="5"/>
    </w:p>
    <w:p w14:paraId="2F0DA52A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第十三条 组委会建立赛区监管机制，由秘书处、赛事运营中心、监审委员会组成监管小组，对各赛区工作进行全程监管，包括海选流程、评选公平性、宣传推广、经费使用等方面。</w:t>
      </w:r>
    </w:p>
    <w:p w14:paraId="3985F833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第十四条 监管方式包括定期检查、随机抽查、线上巡查、选手反馈核实等，监管小组每季度对各赛区工作进行一次考核，考核结果作为评优、续期授权的重要依据。</w:t>
      </w:r>
    </w:p>
    <w:p w14:paraId="638FA25A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第十五条 考核指标包括：选手招募数量、海选组织规范性、宣传推广效果、晋级选手质量、选手满意度、无违规行为记录等。考核优秀的，给予表彰及后续活动优先授权；考核不合格的，责令限期整改，整改仍不合格的，取消授权资格，没收授权保证金。</w:t>
      </w:r>
    </w:p>
    <w:p w14:paraId="18545122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第十六条 授权单位有下列情形之一的，组委会有权立即取消其授权资格，没收授权保证金，并追究其违约责任：</w:t>
      </w:r>
    </w:p>
    <w:p w14:paraId="75B9312F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未按规定开展海选工作，存在暗箱操作、弄虚作假等违规评选行为；</w:t>
      </w:r>
    </w:p>
    <w:p w14:paraId="5CA0BBE1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擅自转让、出租、出借授权资格，或超出授权范围开展活动；</w:t>
      </w:r>
    </w:p>
    <w:p w14:paraId="1D547E7B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未按宣传口径开展宣传，发布虚假信息、负面舆情，损害活动形象；</w:t>
      </w:r>
    </w:p>
    <w:p w14:paraId="4D85030F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未按时完成海选工作，或拖延、篡改晋级选手信息、节目资料；</w:t>
      </w:r>
    </w:p>
    <w:p w14:paraId="02D33024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存在违法违规经营行为，或出现重大安全事故、负面舆情未及时上报及处理；</w:t>
      </w:r>
    </w:p>
    <w:p w14:paraId="7AEA98CF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未按协议约定缴纳相关费用，或擅自收取不合理费用，引发选手投诉且未妥善处理。</w:t>
      </w:r>
    </w:p>
    <w:p w14:paraId="14F54533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hAnsi="Arial" w:eastAsia="等线" w:cs="Arial"/>
          <w:b/>
          <w:sz w:val="32"/>
        </w:rPr>
        <w:t>第六章 授权期限与终止</w:t>
      </w:r>
      <w:bookmarkEnd w:id="6"/>
    </w:p>
    <w:p w14:paraId="206C73A5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第十七条 本次赛区授权期限自《赛区授权合作协议》签署之日起，至本次活动全部结束（含海外巡演及成果总结）止。</w:t>
      </w:r>
    </w:p>
    <w:p w14:paraId="7B9D4AAB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第十八条 授权期限届满，授权自动终止。授权单位需在终止后5个工作日内，将赛区相关资料（选手档案、活动记录、财务报表等）移交组委会，完成工作交接。</w:t>
      </w:r>
    </w:p>
    <w:p w14:paraId="5C467822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第十九条 授权单位因自身原因申请终止授权的，需提前15个工作日向组委会提交书面申请，经组委会同意后，办理终止手续。若因授权单位违规导致授权终止，组委会不承担任何责任，且有权追究其违约责任。</w:t>
      </w:r>
    </w:p>
    <w:p w14:paraId="167B8D7E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hAnsi="Arial" w:eastAsia="等线" w:cs="Arial"/>
          <w:b/>
          <w:sz w:val="32"/>
        </w:rPr>
        <w:t>第七章 附则</w:t>
      </w:r>
      <w:bookmarkEnd w:id="7"/>
    </w:p>
    <w:p w14:paraId="1CEFC5C9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第二十条 本办法由本次活动组委会负责解释。</w:t>
      </w:r>
    </w:p>
    <w:p w14:paraId="35836D89">
      <w:pPr>
        <w:spacing w:before="120" w:after="120" w:line="288" w:lineRule="auto"/>
        <w:rPr>
          <w:rFonts w:ascii="Arial" w:hAnsi="Arial" w:eastAsia="等线" w:cs="Arial"/>
        </w:rPr>
      </w:pPr>
      <w:r>
        <w:rPr>
          <w:rFonts w:ascii="Arial" w:hAnsi="Arial" w:eastAsia="等线" w:cs="Arial"/>
        </w:rPr>
        <w:t>第二十一条 本办法自发布之日起施行，各授权单位需严格遵照执行。</w:t>
      </w:r>
    </w:p>
    <w:p w14:paraId="3C5477F6">
      <w:pPr>
        <w:spacing w:before="120" w:after="120" w:line="288" w:lineRule="auto"/>
        <w:rPr>
          <w:rFonts w:hint="eastAsia" w:ascii="Arial" w:hAnsi="Arial" w:eastAsia="等线" w:cs="Arial"/>
        </w:rPr>
      </w:pPr>
    </w:p>
    <w:p w14:paraId="0AA01DA2">
      <w:pPr>
        <w:spacing w:before="120" w:after="120" w:line="288" w:lineRule="auto"/>
        <w:ind w:firstLine="3520" w:firstLineChars="1600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</w:rPr>
        <w:t>银龄华彩·艺韵流芳中老年人文艺汇演活动</w:t>
      </w:r>
      <w:r>
        <w:rPr>
          <w:rFonts w:ascii="Arial" w:hAnsi="Arial" w:eastAsia="等线" w:cs="Arial"/>
        </w:rPr>
        <w:t>组委会</w:t>
      </w:r>
    </w:p>
    <w:p w14:paraId="0E0DFF7B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 xml:space="preserve"> </w:t>
      </w:r>
      <w:r>
        <w:rPr>
          <w:rFonts w:hint="eastAsia" w:ascii="Arial" w:hAnsi="Arial" w:eastAsia="等线" w:cs="Arial"/>
          <w:lang w:val="en-US" w:eastAsia="zh-CN"/>
        </w:rPr>
        <w:t xml:space="preserve">                                                                                       </w:t>
      </w:r>
      <w:r>
        <w:rPr>
          <w:rFonts w:ascii="Arial" w:hAnsi="Arial" w:eastAsia="等线" w:cs="Arial"/>
        </w:rPr>
        <w:t>2026年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</w:rPr>
        <w:t>月</w:t>
      </w:r>
    </w:p>
    <w:p w14:paraId="7F79D23E">
      <w:pPr>
        <w:spacing w:before="120" w:after="120" w:line="288" w:lineRule="auto"/>
        <w:rPr>
          <w:rFonts w:hint="eastAsia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7517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A59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A19DB"/>
    <w:multiLevelType w:val="multilevel"/>
    <w:tmpl w:val="031A19D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5CA51D6"/>
    <w:multiLevelType w:val="multilevel"/>
    <w:tmpl w:val="05CA51D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E580606"/>
    <w:multiLevelType w:val="multilevel"/>
    <w:tmpl w:val="0E58060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E922117"/>
    <w:multiLevelType w:val="multilevel"/>
    <w:tmpl w:val="0E92211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76E12D3"/>
    <w:multiLevelType w:val="multilevel"/>
    <w:tmpl w:val="176E12D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8396F02"/>
    <w:multiLevelType w:val="multilevel"/>
    <w:tmpl w:val="18396F02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9406096"/>
    <w:multiLevelType w:val="multilevel"/>
    <w:tmpl w:val="1940609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A805CA6"/>
    <w:multiLevelType w:val="multilevel"/>
    <w:tmpl w:val="1A805CA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15D3795"/>
    <w:multiLevelType w:val="multilevel"/>
    <w:tmpl w:val="215D379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43F3BD4"/>
    <w:multiLevelType w:val="multilevel"/>
    <w:tmpl w:val="243F3BD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277F7640"/>
    <w:multiLevelType w:val="multilevel"/>
    <w:tmpl w:val="277F764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90F6AFF"/>
    <w:multiLevelType w:val="multilevel"/>
    <w:tmpl w:val="290F6AF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A5527C1"/>
    <w:multiLevelType w:val="multilevel"/>
    <w:tmpl w:val="2A5527C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4B828A8"/>
    <w:multiLevelType w:val="multilevel"/>
    <w:tmpl w:val="34B828A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4ED2585"/>
    <w:multiLevelType w:val="multilevel"/>
    <w:tmpl w:val="34ED258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381425A8"/>
    <w:multiLevelType w:val="multilevel"/>
    <w:tmpl w:val="381425A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39BE7E47"/>
    <w:multiLevelType w:val="multilevel"/>
    <w:tmpl w:val="39BE7E4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3C1C3BE0"/>
    <w:multiLevelType w:val="multilevel"/>
    <w:tmpl w:val="3C1C3BE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3F747FB3"/>
    <w:multiLevelType w:val="multilevel"/>
    <w:tmpl w:val="3F747FB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43234E6C"/>
    <w:multiLevelType w:val="multilevel"/>
    <w:tmpl w:val="43234E6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44E1329D"/>
    <w:multiLevelType w:val="multilevel"/>
    <w:tmpl w:val="44E1329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45C25913"/>
    <w:multiLevelType w:val="multilevel"/>
    <w:tmpl w:val="45C2591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4D197459"/>
    <w:multiLevelType w:val="multilevel"/>
    <w:tmpl w:val="4D19745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57C450FB"/>
    <w:multiLevelType w:val="multilevel"/>
    <w:tmpl w:val="57C450F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589F26DA"/>
    <w:multiLevelType w:val="multilevel"/>
    <w:tmpl w:val="589F26D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5C76777F"/>
    <w:multiLevelType w:val="multilevel"/>
    <w:tmpl w:val="5C76777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68AD7156"/>
    <w:multiLevelType w:val="multilevel"/>
    <w:tmpl w:val="68AD715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720C17BD"/>
    <w:multiLevelType w:val="multilevel"/>
    <w:tmpl w:val="720C17B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749430AC"/>
    <w:multiLevelType w:val="multilevel"/>
    <w:tmpl w:val="749430A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76463230"/>
    <w:multiLevelType w:val="multilevel"/>
    <w:tmpl w:val="7646323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7A880372"/>
    <w:multiLevelType w:val="multilevel"/>
    <w:tmpl w:val="7A880372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2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22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  <w:num w:numId="14">
    <w:abstractNumId w:val="23"/>
  </w:num>
  <w:num w:numId="15">
    <w:abstractNumId w:val="13"/>
  </w:num>
  <w:num w:numId="16">
    <w:abstractNumId w:val="18"/>
  </w:num>
  <w:num w:numId="17">
    <w:abstractNumId w:val="29"/>
  </w:num>
  <w:num w:numId="18">
    <w:abstractNumId w:val="25"/>
  </w:num>
  <w:num w:numId="19">
    <w:abstractNumId w:val="20"/>
  </w:num>
  <w:num w:numId="20">
    <w:abstractNumId w:val="7"/>
  </w:num>
  <w:num w:numId="21">
    <w:abstractNumId w:val="5"/>
  </w:num>
  <w:num w:numId="22">
    <w:abstractNumId w:val="27"/>
  </w:num>
  <w:num w:numId="23">
    <w:abstractNumId w:val="26"/>
  </w:num>
  <w:num w:numId="24">
    <w:abstractNumId w:val="30"/>
  </w:num>
  <w:num w:numId="25">
    <w:abstractNumId w:val="17"/>
  </w:num>
  <w:num w:numId="26">
    <w:abstractNumId w:val="19"/>
  </w:num>
  <w:num w:numId="27">
    <w:abstractNumId w:val="16"/>
  </w:num>
  <w:num w:numId="28">
    <w:abstractNumId w:val="28"/>
  </w:num>
  <w:num w:numId="29">
    <w:abstractNumId w:val="3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5C"/>
    <w:rsid w:val="00066F18"/>
    <w:rsid w:val="00482EA2"/>
    <w:rsid w:val="005F4894"/>
    <w:rsid w:val="009A4AD1"/>
    <w:rsid w:val="00A8035C"/>
    <w:rsid w:val="00BB2B2A"/>
    <w:rsid w:val="00D63436"/>
    <w:rsid w:val="2044226A"/>
    <w:rsid w:val="3AFC71E3"/>
    <w:rsid w:val="400F2B9D"/>
    <w:rsid w:val="572655F2"/>
    <w:rsid w:val="58737694"/>
    <w:rsid w:val="5A301054"/>
    <w:rsid w:val="719B13A8"/>
    <w:rsid w:val="786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2734</Words>
  <Characters>2757</Characters>
  <Lines>20</Lines>
  <Paragraphs>5</Paragraphs>
  <TotalTime>16</TotalTime>
  <ScaleCrop>false</ScaleCrop>
  <LinksUpToDate>false</LinksUpToDate>
  <CharactersWithSpaces>2874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2026-03-09T07:50:00Z</dcterms:created>
  <dc:creator>Apache POI</dc:creator>
  <cp:lastModifiedBy>顾卫南</cp:lastModifiedBy>
  <dcterms:modified xsi:type="dcterms:W3CDTF">2026-05-20T04:28:59Z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eyJoZGlkIjoiMjkzYmU3MjcwNjc5YWE2YzBhY2UxY2ViNWNmZGY0YjQiLCJ1c2VySWQiOiIyNjQ2ODI3OTcifQ==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DA5B07ABA3284C30AC5EFEDB17B442F8_13</vt:lpwstr>
  </property>
</Properties>
</file>